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7BADD">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附件</w:t>
      </w:r>
    </w:p>
    <w:p w14:paraId="000E9067">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p>
    <w:p w14:paraId="716F285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bookmarkStart w:id="0" w:name="_GoBack"/>
      <w:r>
        <w:rPr>
          <w:rFonts w:hint="eastAsia" w:ascii="方正小标宋简体" w:hAnsi="方正小标宋简体" w:eastAsia="方正小标宋简体" w:cs="方正小标宋简体"/>
          <w:b w:val="0"/>
          <w:bCs w:val="0"/>
          <w:kern w:val="2"/>
          <w:sz w:val="44"/>
          <w:szCs w:val="44"/>
          <w:lang w:val="en-US" w:eastAsia="zh-CN" w:bidi="ar-SA"/>
        </w:rPr>
        <w:t>2025年首都学术项目设置说明</w:t>
      </w:r>
      <w:bookmarkEnd w:id="0"/>
    </w:p>
    <w:p w14:paraId="095C1D36">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051D2425">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2025年，</w:t>
      </w:r>
      <w:r>
        <w:rPr>
          <w:rFonts w:hint="eastAsia" w:ascii="仿宋_GB2312" w:hAnsi="仿宋_GB2312" w:eastAsia="仿宋_GB2312" w:cs="仿宋_GB2312"/>
          <w:b w:val="0"/>
          <w:bCs w:val="0"/>
          <w:kern w:val="2"/>
          <w:sz w:val="32"/>
          <w:szCs w:val="32"/>
          <w:highlight w:val="none"/>
          <w:lang w:val="en-US" w:eastAsia="zh-CN" w:bidi="ar-SA"/>
        </w:rPr>
        <w:t>市科协以支持学会提升学术引领力为目标，新设置首都学术培优专项，持续打造北京科技交流学术月和首都前沿学术成果报告会两个学术活动品牌，持续引导支持学会、基层组织举办品牌专业学术活动和青年学术活动。</w:t>
      </w:r>
    </w:p>
    <w:p w14:paraId="2A772AB7">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一、A类首都学术培优项目绩效要求</w:t>
      </w:r>
    </w:p>
    <w:p w14:paraId="6E4DF435">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w:t>
      </w:r>
      <w:r>
        <w:rPr>
          <w:rFonts w:hint="eastAsia" w:ascii="仿宋_GB2312" w:hAnsi="仿宋_GB2312" w:eastAsia="仿宋_GB2312" w:cs="仿宋_GB2312"/>
          <w:b w:val="0"/>
          <w:bCs w:val="0"/>
          <w:kern w:val="2"/>
          <w:sz w:val="32"/>
          <w:szCs w:val="32"/>
          <w:highlight w:val="none"/>
          <w:lang w:val="en-US" w:eastAsia="zh-CN" w:bidi="ar-SA"/>
        </w:rPr>
        <w:t>聚焦北京国际科技创新中心建设，围绕学科交叉领域、学术科技前沿、重点产业集群及国家重大战略发展需求确定学术活动主题，主题需具有前瞻性和引领力；</w:t>
      </w:r>
    </w:p>
    <w:p w14:paraId="5E1DCFDB">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2.全年须主办或联合主办或主要承办不少于一场国际学术会议，</w:t>
      </w:r>
      <w:r>
        <w:rPr>
          <w:rFonts w:hint="eastAsia" w:ascii="仿宋_GB2312" w:hAnsi="仿宋_GB2312" w:eastAsia="仿宋_GB2312" w:cs="仿宋_GB2312"/>
          <w:b w:val="0"/>
          <w:bCs w:val="0"/>
          <w:kern w:val="2"/>
          <w:sz w:val="32"/>
          <w:szCs w:val="32"/>
          <w:highlight w:val="none"/>
          <w:lang w:val="en-US" w:eastAsia="zh-CN" w:bidi="ar-SA"/>
        </w:rPr>
        <w:t>会议须</w:t>
      </w:r>
      <w:r>
        <w:rPr>
          <w:rFonts w:hint="eastAsia" w:ascii="仿宋_GB2312" w:hAnsi="仿宋_GB2312" w:eastAsia="仿宋_GB2312" w:cs="仿宋_GB2312"/>
          <w:b w:val="0"/>
          <w:bCs w:val="0"/>
          <w:sz w:val="32"/>
          <w:szCs w:val="32"/>
          <w:highlight w:val="none"/>
          <w:lang w:eastAsia="zh-CN"/>
        </w:rPr>
        <w:t>完成国际学术会议的报备审批手续；</w:t>
      </w:r>
    </w:p>
    <w:p w14:paraId="72F33DC1">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3.全年须主办3场以上学术交流活动；</w:t>
      </w:r>
    </w:p>
    <w:p w14:paraId="5B011DC5">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4.举办的学术会议须有院士、知名专家或行业领军人物作报告；</w:t>
      </w:r>
    </w:p>
    <w:p w14:paraId="2F132EBF">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5.针对学科发展、产业前沿、技术需要、人才需求等举办小型研讨会或闭门会议，活动数量和规模不作要求；</w:t>
      </w:r>
    </w:p>
    <w:p w14:paraId="757C9E6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6.年度内举办的学术会议，线下覆盖科技工作者不少于1000人次；</w:t>
      </w:r>
    </w:p>
    <w:p w14:paraId="080BC75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7.会议须加强与高水平科技期刊合作，优秀会议论文向高水平科技期刊推荐；</w:t>
      </w:r>
    </w:p>
    <w:p w14:paraId="68FA62C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8.梳理、总结、提炼学术交流成果至少2项（含专家共识、论文集、白皮书、行业发展报告等），结合学科、产业发展推动解决至少3个学术前沿或技术问题，形成1个以上典型案例，鼓励形成可展示的创新成果；</w:t>
      </w:r>
    </w:p>
    <w:p w14:paraId="74290DC0">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9.举办学术活动须做好宣传；</w:t>
      </w:r>
    </w:p>
    <w:p w14:paraId="76EC112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lang w:val="en-US" w:eastAsia="zh-CN"/>
        </w:rPr>
      </w:pPr>
      <w:r>
        <w:rPr>
          <w:rFonts w:hint="eastAsia" w:ascii="仿宋_GB2312" w:hAnsi="仿宋_GB2312" w:eastAsia="仿宋_GB2312" w:cs="仿宋_GB2312"/>
          <w:b w:val="0"/>
          <w:bCs w:val="0"/>
          <w:kern w:val="2"/>
          <w:sz w:val="32"/>
          <w:szCs w:val="32"/>
          <w:highlight w:val="none"/>
          <w:lang w:val="en-US" w:eastAsia="zh-CN" w:bidi="ar-SA"/>
        </w:rPr>
        <w:t>10.形成项目总结报告。</w:t>
      </w:r>
    </w:p>
    <w:p w14:paraId="5240E6EB">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bCs/>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二、B类首都学术培优项目绩效要求</w:t>
      </w:r>
    </w:p>
    <w:p w14:paraId="439A23F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w:t>
      </w:r>
      <w:r>
        <w:rPr>
          <w:rFonts w:hint="eastAsia" w:ascii="仿宋_GB2312" w:hAnsi="仿宋_GB2312" w:eastAsia="仿宋_GB2312" w:cs="仿宋_GB2312"/>
          <w:b w:val="0"/>
          <w:bCs w:val="0"/>
          <w:kern w:val="2"/>
          <w:sz w:val="32"/>
          <w:szCs w:val="32"/>
          <w:highlight w:val="none"/>
          <w:lang w:val="en-US" w:eastAsia="zh-CN" w:bidi="ar-SA"/>
        </w:rPr>
        <w:t>聚焦北京国际科技创新中心建设，围绕学科交叉领域、学术科技前沿、重点产业集群及国家重大战略发展需求确定学术活动主题，具有前瞻性和引领力；</w:t>
      </w:r>
    </w:p>
    <w:p w14:paraId="50360640">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2.全年须主办或联合主办或主要承办不少于一场区域性学术会议</w:t>
      </w:r>
      <w:r>
        <w:rPr>
          <w:rFonts w:hint="eastAsia" w:ascii="仿宋_GB2312" w:hAnsi="仿宋_GB2312" w:eastAsia="仿宋_GB2312" w:cs="仿宋_GB2312"/>
          <w:b w:val="0"/>
          <w:bCs w:val="0"/>
          <w:sz w:val="32"/>
          <w:szCs w:val="32"/>
          <w:highlight w:val="none"/>
          <w:lang w:eastAsia="zh-CN"/>
        </w:rPr>
        <w:t>；</w:t>
      </w:r>
    </w:p>
    <w:p w14:paraId="70EC525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3.全年须主办2场以上学术交流活动；</w:t>
      </w:r>
    </w:p>
    <w:p w14:paraId="525B1784">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4.举办的学术会议须有院士、知名专家或行业领军人物作报告；</w:t>
      </w:r>
    </w:p>
    <w:p w14:paraId="117B8D9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5.针对学科发展、产业前沿、技术需要、人才需求等举办的小型研讨会或闭门会议，活动数量和规模不作要求；</w:t>
      </w:r>
    </w:p>
    <w:p w14:paraId="31EBAE4C">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6.年度内举办的学术会议，线下覆盖科技工作者不少于500人次；</w:t>
      </w:r>
    </w:p>
    <w:p w14:paraId="167D31B1">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7.梳理、总结、提炼学术交流成果至少1项（含专家共识、论文集、白皮书、行业发展报告、建言献策等），形成1个以上典型案例，鼓励形成可展示的创新成果；</w:t>
      </w:r>
    </w:p>
    <w:p w14:paraId="3A2B6987">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8.举办学术活动须做好宣传；</w:t>
      </w:r>
    </w:p>
    <w:p w14:paraId="4DB032F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lang w:val="en-US" w:eastAsia="zh-CN"/>
        </w:rPr>
      </w:pPr>
      <w:r>
        <w:rPr>
          <w:rFonts w:hint="eastAsia" w:ascii="仿宋_GB2312" w:hAnsi="仿宋_GB2312" w:eastAsia="仿宋_GB2312" w:cs="仿宋_GB2312"/>
          <w:b w:val="0"/>
          <w:bCs w:val="0"/>
          <w:kern w:val="2"/>
          <w:sz w:val="32"/>
          <w:szCs w:val="32"/>
          <w:highlight w:val="none"/>
          <w:lang w:val="en-US" w:eastAsia="zh-CN" w:bidi="ar-SA"/>
        </w:rPr>
        <w:t>9.形成项目总结报告。</w:t>
      </w:r>
    </w:p>
    <w:p w14:paraId="3EDC1F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方正黑体_GBK" w:hAnsi="方正黑体_GBK" w:eastAsia="方正黑体_GBK" w:cs="方正黑体_GBK"/>
          <w:b w:val="0"/>
          <w:bCs w:val="0"/>
          <w:kern w:val="2"/>
          <w:sz w:val="32"/>
          <w:szCs w:val="32"/>
          <w:lang w:val="en-US" w:eastAsia="zh-CN" w:bidi="ar-SA"/>
        </w:rPr>
        <w:t>三、第28届北京科技交流学术月主题活动相关要求</w:t>
      </w:r>
    </w:p>
    <w:p w14:paraId="168EB6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val="0"/>
          <w:sz w:val="32"/>
          <w:szCs w:val="32"/>
          <w:lang w:val="en-US" w:eastAsia="zh-CN"/>
        </w:rPr>
        <w:t>学术月专题活动举办时间为2025年10月中旬-11月中旬；</w:t>
      </w:r>
    </w:p>
    <w:p w14:paraId="567F29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pPr>
      <w:r>
        <w:rPr>
          <w:rFonts w:hint="eastAsia" w:ascii="仿宋_GB2312" w:hAnsi="仿宋_GB2312" w:eastAsia="仿宋_GB2312" w:cs="仿宋_GB2312"/>
          <w:b w:val="0"/>
          <w:bCs/>
          <w:sz w:val="32"/>
          <w:szCs w:val="32"/>
          <w:lang w:val="en-US" w:eastAsia="zh-CN"/>
        </w:rPr>
        <w:t>2.领域范围：围绕</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基础研究</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人工智能</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医药健康</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交叉科学</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等领域举办学术月主题活动。学术月期间将根据征集情况确定学术月主题周；</w:t>
      </w:r>
    </w:p>
    <w:p w14:paraId="6E80A3E8">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pP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3.纳入学术月的活动须统一使用北京科技交流学术月宣传标识；</w:t>
      </w:r>
    </w:p>
    <w:p w14:paraId="155280FA">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lang w:val="en-US" w:eastAsia="zh-CN"/>
        </w:rPr>
      </w:pP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4.活动结束后，须</w:t>
      </w:r>
      <w:r>
        <w:rPr>
          <w:rFonts w:hint="eastAsia" w:ascii="仿宋_GB2312" w:hAnsi="仿宋_GB2312" w:eastAsia="仿宋_GB2312" w:cs="仿宋_GB2312"/>
          <w:b w:val="0"/>
          <w:bCs w:val="0"/>
          <w:kern w:val="2"/>
          <w:sz w:val="32"/>
          <w:szCs w:val="32"/>
          <w:lang w:val="en-US" w:eastAsia="zh-CN" w:bidi="ar-SA"/>
        </w:rPr>
        <w:t>梳理、总结、提炼学术交流成果至少 1 项（含专家共识、论文集、白皮书、行业发展报告等）。</w:t>
      </w:r>
    </w:p>
    <w:p w14:paraId="3E9DC72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Chars="200"/>
        <w:textAlignment w:val="auto"/>
        <w:rPr>
          <w:rFonts w:hint="eastAsia" w:ascii="仿宋_GB2312" w:hAnsi="仿宋_GB2312" w:eastAsia="仿宋_GB2312" w:cs="仿宋_GB2312"/>
          <w:b w:val="0"/>
          <w:bCs/>
          <w:sz w:val="32"/>
          <w:szCs w:val="32"/>
          <w:lang w:val="en-US" w:eastAsia="zh-CN"/>
        </w:rPr>
      </w:pPr>
      <w:r>
        <w:rPr>
          <w:rFonts w:hint="eastAsia" w:ascii="方正黑体_GBK" w:hAnsi="方正黑体_GBK" w:eastAsia="方正黑体_GBK" w:cs="方正黑体_GBK"/>
          <w:b w:val="0"/>
          <w:bCs w:val="0"/>
          <w:kern w:val="2"/>
          <w:sz w:val="32"/>
          <w:szCs w:val="32"/>
          <w:lang w:val="en-US" w:eastAsia="zh-CN" w:bidi="ar-SA"/>
        </w:rPr>
        <w:t>四</w:t>
      </w:r>
      <w:r>
        <w:rPr>
          <w:rFonts w:hint="default" w:ascii="方正黑体_GBK" w:hAnsi="方正黑体_GBK" w:eastAsia="方正黑体_GBK" w:cs="方正黑体_GBK"/>
          <w:b w:val="0"/>
          <w:bCs w:val="0"/>
          <w:kern w:val="2"/>
          <w:sz w:val="32"/>
          <w:szCs w:val="32"/>
          <w:lang w:val="en-US" w:eastAsia="zh-CN" w:bidi="ar-SA"/>
        </w:rPr>
        <w:t>、首都前沿学术成果报告会</w:t>
      </w:r>
      <w:r>
        <w:rPr>
          <w:rFonts w:hint="eastAsia" w:ascii="方正黑体_GBK" w:hAnsi="方正黑体_GBK" w:eastAsia="方正黑体_GBK" w:cs="方正黑体_GBK"/>
          <w:b w:val="0"/>
          <w:bCs w:val="0"/>
          <w:kern w:val="2"/>
          <w:sz w:val="32"/>
          <w:szCs w:val="32"/>
          <w:lang w:val="en-US" w:eastAsia="zh-CN" w:bidi="ar-SA"/>
        </w:rPr>
        <w:t>相关要求</w:t>
      </w:r>
    </w:p>
    <w:p w14:paraId="3E2E1E42">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1.对接开展学术成果定量遴选。对接</w:t>
      </w:r>
      <w:r>
        <w:rPr>
          <w:rFonts w:hint="eastAsia" w:ascii="仿宋_GB2312" w:hAnsi="仿宋_GB2312" w:eastAsia="仿宋_GB2312" w:cs="仿宋_GB2312"/>
          <w:b w:val="0"/>
          <w:bCs/>
          <w:sz w:val="32"/>
          <w:szCs w:val="32"/>
          <w:lang w:eastAsia="zh-CN"/>
        </w:rPr>
        <w:t>定量筛选团队，确定学术成果遴选细分方向。从近三至五年北京学者发表在正式出版的具有国际标准连续出版物编号（ISSN）的国内外期刊上的热点、前沿、具有重大国际影响力和原创性的科技论文或科研成果中，每个学科国内、国际分别遴选出</w:t>
      </w:r>
      <w:r>
        <w:rPr>
          <w:rFonts w:hint="eastAsia" w:ascii="仿宋_GB2312" w:hAnsi="仿宋_GB2312" w:eastAsia="仿宋_GB2312" w:cs="仿宋_GB2312"/>
          <w:b w:val="0"/>
          <w:bCs/>
          <w:sz w:val="32"/>
          <w:szCs w:val="32"/>
          <w:lang w:val="en-US" w:eastAsia="zh-CN"/>
        </w:rPr>
        <w:t>200-</w:t>
      </w:r>
      <w:r>
        <w:rPr>
          <w:rFonts w:hint="eastAsia" w:ascii="仿宋_GB2312" w:hAnsi="仿宋_GB2312" w:eastAsia="仿宋_GB2312" w:cs="仿宋_GB2312"/>
          <w:b w:val="0"/>
          <w:bCs/>
          <w:sz w:val="32"/>
          <w:szCs w:val="32"/>
          <w:lang w:eastAsia="zh-CN"/>
        </w:rPr>
        <w:t>500项学术成果；</w:t>
      </w:r>
    </w:p>
    <w:p w14:paraId="380AEC31">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2.组织开展学术成果定性分析。</w:t>
      </w:r>
      <w:r>
        <w:rPr>
          <w:rFonts w:hint="eastAsia" w:ascii="仿宋_GB2312" w:hAnsi="仿宋_GB2312" w:eastAsia="仿宋_GB2312" w:cs="仿宋_GB2312"/>
          <w:b w:val="0"/>
          <w:bCs/>
          <w:sz w:val="32"/>
          <w:szCs w:val="32"/>
          <w:lang w:eastAsia="zh-CN"/>
        </w:rPr>
        <w:t>组织不少于5名专家，对定量遴选出</w:t>
      </w:r>
      <w:r>
        <w:rPr>
          <w:rFonts w:hint="eastAsia" w:ascii="仿宋_GB2312" w:hAnsi="仿宋_GB2312" w:eastAsia="仿宋_GB2312" w:cs="仿宋_GB2312"/>
          <w:b w:val="0"/>
          <w:bCs/>
          <w:sz w:val="32"/>
          <w:szCs w:val="32"/>
          <w:lang w:val="en-US" w:eastAsia="zh-CN"/>
        </w:rPr>
        <w:t>的</w:t>
      </w:r>
      <w:r>
        <w:rPr>
          <w:rFonts w:hint="eastAsia" w:ascii="仿宋_GB2312" w:hAnsi="仿宋_GB2312" w:eastAsia="仿宋_GB2312" w:cs="仿宋_GB2312"/>
          <w:b w:val="0"/>
          <w:bCs/>
          <w:sz w:val="32"/>
          <w:szCs w:val="32"/>
          <w:lang w:eastAsia="zh-CN"/>
        </w:rPr>
        <w:t>学术成果进行定性分析和专家评审，确定20项前沿学术成果；</w:t>
      </w:r>
    </w:p>
    <w:p w14:paraId="1DB6A6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3.举办报告会。</w:t>
      </w:r>
      <w:r>
        <w:rPr>
          <w:rFonts w:hint="eastAsia" w:ascii="仿宋_GB2312" w:hAnsi="仿宋_GB2312" w:eastAsia="仿宋_GB2312" w:cs="仿宋_GB2312"/>
          <w:b w:val="0"/>
          <w:bCs/>
          <w:sz w:val="32"/>
          <w:szCs w:val="32"/>
          <w:lang w:eastAsia="zh-CN"/>
        </w:rPr>
        <w:t>邀请遴选出的前沿成果作者作报告并进行交流。报告会现场报告人不少于</w:t>
      </w:r>
      <w:r>
        <w:rPr>
          <w:rFonts w:hint="eastAsia" w:ascii="仿宋_GB2312" w:hAnsi="仿宋_GB2312" w:eastAsia="仿宋_GB2312" w:cs="仿宋_GB2312"/>
          <w:b w:val="0"/>
          <w:bCs/>
          <w:sz w:val="32"/>
          <w:szCs w:val="32"/>
          <w:lang w:val="en-US" w:eastAsia="zh-CN"/>
        </w:rPr>
        <w:t>4位，邀请学科领域内知名专家学者担任交流嘉宾，与报告人现场互动；</w:t>
      </w:r>
    </w:p>
    <w:p w14:paraId="3B0DC0E2">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4.鼓励学会、</w:t>
      </w:r>
      <w:r>
        <w:rPr>
          <w:rFonts w:hint="eastAsia" w:ascii="仿宋_GB2312" w:hAnsi="仿宋_GB2312" w:eastAsia="仿宋_GB2312" w:cs="仿宋_GB2312"/>
          <w:b w:val="0"/>
          <w:bCs/>
          <w:sz w:val="32"/>
          <w:szCs w:val="32"/>
          <w:lang w:eastAsia="zh-CN"/>
        </w:rPr>
        <w:t>高校科协、园区科协、企业科协合作举办。</w:t>
      </w:r>
    </w:p>
    <w:p w14:paraId="3A90C83D">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五、</w:t>
      </w:r>
      <w:r>
        <w:rPr>
          <w:rFonts w:hint="eastAsia" w:ascii="方正黑体_GBK" w:hAnsi="方正黑体_GBK" w:eastAsia="方正黑体_GBK" w:cs="方正黑体_GBK"/>
          <w:bCs/>
          <w:sz w:val="32"/>
          <w:szCs w:val="32"/>
          <w:lang w:eastAsia="zh-CN"/>
        </w:rPr>
        <w:t>连续届次学术活动</w:t>
      </w:r>
      <w:r>
        <w:rPr>
          <w:rFonts w:hint="eastAsia" w:ascii="方正黑体_GBK" w:hAnsi="方正黑体_GBK" w:eastAsia="方正黑体_GBK" w:cs="方正黑体_GBK"/>
          <w:bCs/>
          <w:sz w:val="32"/>
          <w:szCs w:val="32"/>
          <w:lang w:val="en-US" w:eastAsia="zh-CN"/>
        </w:rPr>
        <w:t>项目</w:t>
      </w:r>
      <w:r>
        <w:rPr>
          <w:rFonts w:hint="eastAsia" w:ascii="方正黑体_GBK" w:hAnsi="方正黑体_GBK" w:eastAsia="方正黑体_GBK" w:cs="方正黑体_GBK"/>
          <w:b w:val="0"/>
          <w:bCs w:val="0"/>
          <w:kern w:val="2"/>
          <w:sz w:val="32"/>
          <w:szCs w:val="32"/>
          <w:lang w:val="en-US" w:eastAsia="zh-CN" w:bidi="ar-SA"/>
        </w:rPr>
        <w:t>相关要求</w:t>
      </w:r>
    </w:p>
    <w:p w14:paraId="0A88F2C6">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打造</w:t>
      </w:r>
      <w:r>
        <w:rPr>
          <w:rFonts w:hint="eastAsia" w:ascii="仿宋_GB2312" w:hAnsi="仿宋_GB2312" w:eastAsia="仿宋_GB2312" w:cs="仿宋_GB2312"/>
          <w:b w:val="0"/>
          <w:bCs w:val="0"/>
          <w:sz w:val="32"/>
          <w:szCs w:val="32"/>
          <w:lang w:eastAsia="zh-CN"/>
        </w:rPr>
        <w:t>市学会</w:t>
      </w:r>
      <w:r>
        <w:rPr>
          <w:rFonts w:hint="eastAsia" w:ascii="仿宋_GB2312" w:hAnsi="仿宋_GB2312" w:eastAsia="仿宋_GB2312" w:cs="仿宋_GB2312"/>
          <w:b w:val="0"/>
          <w:bCs w:val="0"/>
          <w:sz w:val="32"/>
          <w:szCs w:val="32"/>
        </w:rPr>
        <w:t>和基层组织的</w:t>
      </w:r>
      <w:r>
        <w:rPr>
          <w:rFonts w:hint="eastAsia" w:ascii="仿宋_GB2312" w:hAnsi="仿宋_GB2312" w:eastAsia="仿宋_GB2312" w:cs="仿宋_GB2312"/>
          <w:b w:val="0"/>
          <w:bCs w:val="0"/>
          <w:sz w:val="32"/>
          <w:szCs w:val="32"/>
          <w:lang w:eastAsia="zh-CN"/>
        </w:rPr>
        <w:t>连续届次</w:t>
      </w:r>
      <w:r>
        <w:rPr>
          <w:rFonts w:hint="eastAsia" w:ascii="仿宋_GB2312" w:hAnsi="仿宋_GB2312" w:eastAsia="仿宋_GB2312" w:cs="仿宋_GB2312"/>
          <w:b w:val="0"/>
          <w:bCs w:val="0"/>
          <w:sz w:val="32"/>
          <w:szCs w:val="32"/>
        </w:rPr>
        <w:t>学术交流活动。鼓励开展主题鲜明、影响广泛、引领作用明显的学术活动，推动重大科学问题的深入交流和探索</w:t>
      </w:r>
      <w:r>
        <w:rPr>
          <w:rFonts w:hint="eastAsia" w:ascii="仿宋_GB2312" w:hAnsi="仿宋_GB2312" w:eastAsia="仿宋_GB2312" w:cs="仿宋_GB2312"/>
          <w:b w:val="0"/>
          <w:bCs w:val="0"/>
          <w:sz w:val="32"/>
          <w:szCs w:val="32"/>
          <w:lang w:eastAsia="zh-CN"/>
        </w:rPr>
        <w:t>，包括但不限于学术年会、学科或产业领域内有影响力的品牌学术活动。</w:t>
      </w:r>
      <w:r>
        <w:rPr>
          <w:rFonts w:hint="eastAsia" w:ascii="仿宋_GB2312" w:hAnsi="仿宋_GB2312" w:eastAsia="仿宋_GB2312" w:cs="仿宋_GB2312"/>
          <w:b w:val="0"/>
          <w:bCs w:val="0"/>
          <w:kern w:val="2"/>
          <w:sz w:val="32"/>
          <w:szCs w:val="32"/>
          <w:lang w:val="en-US" w:eastAsia="zh-CN" w:bidi="ar-SA"/>
        </w:rPr>
        <w:t>鼓励形成可展示的创新成果。</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会议结束后，须</w:t>
      </w:r>
      <w:r>
        <w:rPr>
          <w:rFonts w:hint="eastAsia" w:ascii="仿宋_GB2312" w:hAnsi="仿宋_GB2312" w:eastAsia="仿宋_GB2312" w:cs="仿宋_GB2312"/>
          <w:b w:val="0"/>
          <w:bCs w:val="0"/>
          <w:kern w:val="2"/>
          <w:sz w:val="32"/>
          <w:szCs w:val="32"/>
          <w:lang w:val="en-US" w:eastAsia="zh-CN" w:bidi="ar-SA"/>
        </w:rPr>
        <w:t>梳理、总结、提炼学术交流成果至少1项（含专家共识、论文集、白皮书、行业发展报告等）。</w:t>
      </w:r>
    </w:p>
    <w:p w14:paraId="007DF36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Chars="200"/>
        <w:textAlignment w:val="auto"/>
        <w:rPr>
          <w:rFonts w:hint="eastAsia" w:ascii="方正黑体_GBK" w:hAnsi="方正黑体_GBK" w:eastAsia="方正黑体_GBK" w:cs="方正黑体_GBK"/>
          <w:bCs/>
          <w:kern w:val="2"/>
          <w:sz w:val="32"/>
          <w:szCs w:val="32"/>
          <w:lang w:val="en-US" w:eastAsia="zh-CN" w:bidi="ar-SA"/>
        </w:rPr>
      </w:pPr>
      <w:r>
        <w:rPr>
          <w:rFonts w:hint="eastAsia" w:ascii="方正黑体_GBK" w:hAnsi="方正黑体_GBK" w:eastAsia="方正黑体_GBK" w:cs="方正黑体_GBK"/>
          <w:bCs/>
          <w:kern w:val="2"/>
          <w:sz w:val="32"/>
          <w:szCs w:val="32"/>
          <w:lang w:val="en-US" w:eastAsia="zh-CN" w:bidi="ar-SA"/>
        </w:rPr>
        <w:t>六、青年学术活动</w:t>
      </w:r>
      <w:r>
        <w:rPr>
          <w:rFonts w:hint="eastAsia" w:ascii="方正黑体_GBK" w:hAnsi="方正黑体_GBK" w:eastAsia="方正黑体_GBK" w:cs="方正黑体_GBK"/>
          <w:bCs/>
          <w:sz w:val="32"/>
          <w:szCs w:val="32"/>
          <w:lang w:val="en-US" w:eastAsia="zh-CN"/>
        </w:rPr>
        <w:t>项目</w:t>
      </w:r>
      <w:r>
        <w:rPr>
          <w:rFonts w:hint="eastAsia" w:ascii="方正黑体_GBK" w:hAnsi="方正黑体_GBK" w:eastAsia="方正黑体_GBK" w:cs="方正黑体_GBK"/>
          <w:b w:val="0"/>
          <w:bCs w:val="0"/>
          <w:kern w:val="2"/>
          <w:sz w:val="32"/>
          <w:szCs w:val="32"/>
          <w:lang w:val="en-US" w:eastAsia="zh-CN" w:bidi="ar-SA"/>
        </w:rPr>
        <w:t>相关要求</w:t>
      </w:r>
    </w:p>
    <w:p w14:paraId="5C3F6F41">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发挥青委会作用，以学术交流团结凝聚青年科技工作者。</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聚焦北京国际科技创新中心建设，针对一线青年科学家关注的热点问题、非共识性问题，在开展前期研究的基础上，邀请20-30位35周岁以下的优秀青年科技工作者进行研讨，交流原创学术思想和最新研究进展，突出争辩质疑，凝练提交学术成果。会议结束后，须</w:t>
      </w:r>
      <w:r>
        <w:rPr>
          <w:rFonts w:hint="eastAsia" w:ascii="仿宋_GB2312" w:hAnsi="仿宋_GB2312" w:eastAsia="仿宋_GB2312" w:cs="仿宋_GB2312"/>
          <w:b w:val="0"/>
          <w:bCs w:val="0"/>
          <w:kern w:val="2"/>
          <w:sz w:val="32"/>
          <w:szCs w:val="32"/>
          <w:lang w:val="en-US" w:eastAsia="zh-CN" w:bidi="ar-SA"/>
        </w:rPr>
        <w:t>梳理、总结、提炼学术交流成果至少1项（含专家共识、论文集、白皮书、行业发展报告等）。</w:t>
      </w:r>
    </w:p>
    <w:p w14:paraId="1CDAAD6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KSOFBE25B2F9">
    <w:panose1 w:val="02000000000000000000"/>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574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等线" w:hAnsi="等线" w:eastAsia="等线" w:cs="Times New Roman"/>
      <w:kern w:val="2"/>
      <w:sz w:val="24"/>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b/>
      <w:bCs/>
      <w:szCs w:val="32"/>
    </w:rPr>
  </w:style>
  <w:style w:type="paragraph" w:styleId="3">
    <w:name w:val="Normal Indent"/>
    <w:basedOn w:val="1"/>
    <w:next w:val="4"/>
    <w:qFormat/>
    <w:uiPriority w:val="99"/>
    <w:pPr>
      <w:ind w:firstLine="420" w:firstLineChars="200"/>
    </w:pPr>
  </w:style>
  <w:style w:type="paragraph" w:styleId="4">
    <w:name w:val="Date"/>
    <w:basedOn w:val="1"/>
    <w:next w:val="1"/>
    <w:qFormat/>
    <w:uiPriority w:val="0"/>
    <w:pPr>
      <w:ind w:left="100" w:leftChars="25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2026-01-12T09:16:10Z</dcterms:created>
  <dc:creator>MI</dc:creator>
  <cp:lastModifiedBy>田云丰</cp:lastModifiedBy>
  <dcterms:modified xsi:type="dcterms:W3CDTF">2026-01-12T09:16:23Z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eyJoZGlkIjoiYTc2ZGZiNzZiNDVlOGViOWVmM2JhOTY0NGJkNjUyYzgiLCJ1c2VySWQiOiIzNDYwNDk2NjMifQ==</vt:lpwstr>
  </property>
  <property fmtid="{D5CDD505-2E9C-101B-9397-08002B2CF9AE}" pid="4" name="ICV">
    <vt:lpwstr>A0AFDA0869CC4E6A99FF8B06B7420B56_12</vt:lpwstr>
  </property>
</Properties>
</file>