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Helvetica" w:hAnsi="Helvetica" w:eastAsia="Helvetica" w:cs="Helvetica"/>
          <w:b w:val="0"/>
          <w:i w:val="0"/>
          <w:caps w:val="0"/>
          <w:color w:val="000000"/>
          <w:spacing w:val="0"/>
          <w:sz w:val="33"/>
          <w:szCs w:val="33"/>
          <w:bdr w:val="none" w:color="auto" w:sz="0" w:space="0"/>
          <w:shd w:val="clear" w:fill="FFFFFF"/>
        </w:rPr>
      </w:pPr>
      <w:r>
        <w:rPr>
          <w:rFonts w:hint="eastAsia" w:ascii="Helvetica" w:hAnsi="Helvetica" w:cs="Helvetica"/>
          <w:b w:val="0"/>
          <w:i w:val="0"/>
          <w:caps w:val="0"/>
          <w:color w:val="000000"/>
          <w:spacing w:val="0"/>
          <w:sz w:val="33"/>
          <w:szCs w:val="33"/>
          <w:bdr w:val="none" w:color="auto" w:sz="0" w:space="0"/>
          <w:shd w:val="clear" w:fill="FFFFFF"/>
          <w:lang w:val="en-US" w:eastAsia="zh-CN"/>
        </w:rPr>
        <w:t>2020年</w:t>
      </w:r>
      <w:r>
        <w:rPr>
          <w:rFonts w:hint="default" w:ascii="Helvetica" w:hAnsi="Helvetica" w:eastAsia="Helvetica" w:cs="Helvetica"/>
          <w:b w:val="0"/>
          <w:i w:val="0"/>
          <w:caps w:val="0"/>
          <w:color w:val="000000"/>
          <w:spacing w:val="0"/>
          <w:sz w:val="33"/>
          <w:szCs w:val="33"/>
          <w:bdr w:val="none" w:color="auto" w:sz="0" w:space="0"/>
          <w:shd w:val="clear" w:fill="FFFFFF"/>
        </w:rPr>
        <w:t>国家公派高级研究学者、访问学者、博士后项目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Helvetica" w:hAnsi="Helvetica" w:eastAsia="Helvetica" w:cs="Helvetica"/>
          <w:b w:val="0"/>
          <w:i w:val="0"/>
          <w:caps w:val="0"/>
          <w:color w:val="000000"/>
          <w:spacing w:val="0"/>
          <w:sz w:val="33"/>
          <w:szCs w:val="33"/>
        </w:rPr>
      </w:pPr>
      <w:r>
        <w:rPr>
          <w:rFonts w:hint="default" w:ascii="Helvetica" w:hAnsi="Helvetica" w:eastAsia="Helvetica" w:cs="Helvetica"/>
          <w:b w:val="0"/>
          <w:i w:val="0"/>
          <w:caps w:val="0"/>
          <w:color w:val="000000"/>
          <w:spacing w:val="0"/>
          <w:sz w:val="33"/>
          <w:szCs w:val="33"/>
          <w:bdr w:val="none" w:color="auto" w:sz="0" w:space="0"/>
          <w:shd w:val="clear" w:fill="FFFFFF"/>
        </w:rPr>
        <w:t>外语合格条件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一、高级研究学者、访问学者及博士后类别申请人，外语水平需达到以下条件之一：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1.参加“全国外语水平考试(WSK)”并达到合格标准。各语种要求如下：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-英语（PETS5）：笔试总分55分（含）以上，其中听力部分18分（含）以上，口试总分3分（含）以上；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-德语(NTD)：笔试总分65分（含）以上；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-法语(TNF)：笔试总分60分（含）以上；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-日语（NNS）/俄语（ТЛРЯ）：笔试总分60分（含）以上，其中口试总分3分（含）以上。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2.外语专业本科（含）以上毕业（专业语种应与留学目的国使用的语种一致）。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3.近十年内曾在同一语种国家或地区连续留学8个月（含）以上，或连续工作12个月（含）以上，或曾以国家公派高级研究学者身份留学3个月（含）以上。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4.曾在教育部指定出国留学人员培训部参加相应语种培训并获结业证书。各语种要求如下：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-英语：高级班结业证书；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-德语、法语、日语、俄语、西班牙语、意大利语：中级班结业证书。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5.参加雅思、托福、德语、法语、西班牙语、意大利语、日语、韩语水平考试，成绩达到以下标准：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雅思（学术类）6.5分、托福网考95分；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德语、法语、西班牙语、意大利语达到欧洲统一语言参考框架（CECRL）B2级；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日语达到日本语能力测试（JLPT）三级（N3）；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韩语达到TOPIK3级。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6.赴其他语种（除英语、德语、法语、日语、俄语、西班牙语、意大利语以外）国家留学者，通过国外拟留学单位组织的对该语种的面试或考试等方式达到其语言要求（应在外方邀请信中注明或单独出具证明）。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bookmarkStart w:id="0" w:name="_GoBack"/>
      <w:bookmarkEnd w:id="0"/>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二、关于外语合格条件的说明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1.上述外语合格条件系留学人员申请和派出的统一标准，申请时合格且外语成绩证明在有效期内，派出时即可视为外语合格。全国外语水平考试（WSK）、教育部出国留学人员培训部结业证书、雅思、托福、欧洲统一语言参考框架（CECRL）、韩语（TOPIK）、日语（JLPT）成绩有效期均为两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2.全国外语水平考试（WSK）的证明材料为全国外语水平考试(WSK)成绩通知单。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3.外语专业本科（含）以上毕业的证明材料为学历或学位证书。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4.曾在同一语种国家或地区留学或工作的证明材料为：我驻外使（领）馆出具的《留学回国人员证明》或曾留学单位及工作单位人事部门分别出具的在外学习或工作的证明。对曾留学国与拟留学国使用语言不一致的，须另行提供曾留学单位出具的工作语言为相应语种的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5.德语、法语、西班牙语、意大利语达到欧洲统一语言参考框架（CECRL）B2级包括参加相应语种考试并取得等同于CECRL B2级的证书或成绩，如德语TestDaF12分以上，法语TEF541分以上、TCF400分以上、DELFB2，西班牙语TELEB2，意大利语CELI3、CILSDueB2、PLIDA B2等。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6.赴非英语国家外语合格条件的说明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外方邀请信须明确工作语言。对外方邀请信中明确表述可使用英语作为工作语言的留学人员，英语达到国家公派合格标准也可以申请并派出，派出前可按自愿原则到有关教育部出国留学人员培训部参加对象国语言初级培训，申报时提交英语水平证明材料即可；对外方邀请信中明确表述使用英语以外语种作为工作语言的留学人员（含邀请信中未明确工作语言者），应达到上述外语合格条件规定的相应语种合格要求，并提交相应外语水平证明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AD0C2B"/>
    <w:rsid w:val="6CAD0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2019-12-18T05:57:00Z</dcterms:created>
  <dc:creator>bear</dc:creator>
  <cp:lastModifiedBy>bear</cp:lastModifiedBy>
  <dcterms:modified xsi:type="dcterms:W3CDTF">2019-12-18T05:59:48Z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